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D2F3" w14:textId="7D3D62BD" w:rsidR="00880B28" w:rsidRPr="001933E6" w:rsidRDefault="00880B28" w:rsidP="00115910">
      <w:pPr>
        <w:pStyle w:val="ListParagraph"/>
        <w:spacing w:after="240" w:line="276" w:lineRule="auto"/>
        <w:ind w:left="0"/>
        <w:jc w:val="both"/>
        <w:rPr>
          <w:rFonts w:eastAsia="Times New Roman"/>
          <w:b/>
          <w:bCs/>
        </w:rPr>
      </w:pPr>
      <w:proofErr w:type="spellStart"/>
      <w:r w:rsidRPr="001933E6">
        <w:rPr>
          <w:rFonts w:eastAsia="Times New Roman"/>
          <w:b/>
          <w:bCs/>
        </w:rPr>
        <w:t>CalCCA’s</w:t>
      </w:r>
      <w:proofErr w:type="spellEnd"/>
      <w:r w:rsidRPr="001933E6">
        <w:rPr>
          <w:rFonts w:eastAsia="Times New Roman"/>
          <w:b/>
          <w:bCs/>
        </w:rPr>
        <w:t xml:space="preserve"> </w:t>
      </w:r>
      <w:r w:rsidR="007F0899">
        <w:rPr>
          <w:rFonts w:eastAsia="Times New Roman"/>
          <w:b/>
          <w:bCs/>
        </w:rPr>
        <w:t>Reply C</w:t>
      </w:r>
      <w:r w:rsidRPr="001933E6">
        <w:rPr>
          <w:rFonts w:eastAsia="Times New Roman"/>
          <w:b/>
          <w:bCs/>
        </w:rPr>
        <w:t xml:space="preserve">omments on CAISO’s </w:t>
      </w:r>
      <w:r w:rsidR="00060622" w:rsidRPr="001933E6">
        <w:rPr>
          <w:b/>
          <w:bCs/>
        </w:rPr>
        <w:t>Business Practice Manual (BPM)</w:t>
      </w:r>
      <w:r w:rsidR="003D5F37">
        <w:rPr>
          <w:b/>
          <w:bCs/>
        </w:rPr>
        <w:t xml:space="preserve"> Change</w:t>
      </w:r>
      <w:r w:rsidR="00060622" w:rsidRPr="001933E6">
        <w:rPr>
          <w:b/>
          <w:bCs/>
        </w:rPr>
        <w:t xml:space="preserve"> </w:t>
      </w:r>
      <w:r w:rsidRPr="001933E6">
        <w:rPr>
          <w:rFonts w:eastAsia="Times New Roman"/>
          <w:b/>
          <w:bCs/>
        </w:rPr>
        <w:t>Proposed Revision Request</w:t>
      </w:r>
      <w:r w:rsidR="00060622" w:rsidRPr="001933E6">
        <w:rPr>
          <w:rFonts w:eastAsia="Times New Roman"/>
          <w:b/>
          <w:bCs/>
        </w:rPr>
        <w:t xml:space="preserve"> (PRR)</w:t>
      </w:r>
      <w:r w:rsidRPr="001933E6">
        <w:rPr>
          <w:rFonts w:eastAsia="Times New Roman"/>
          <w:b/>
          <w:bCs/>
        </w:rPr>
        <w:t xml:space="preserve"> 1280</w:t>
      </w:r>
    </w:p>
    <w:tbl>
      <w:tblPr>
        <w:tblStyle w:val="TableGrid"/>
        <w:tblW w:w="9275" w:type="dxa"/>
        <w:jc w:val="center"/>
        <w:tblInd w:w="0" w:type="dxa"/>
        <w:tblLook w:val="04A0" w:firstRow="1" w:lastRow="0" w:firstColumn="1" w:lastColumn="0" w:noHBand="0" w:noVBand="1"/>
      </w:tblPr>
      <w:tblGrid>
        <w:gridCol w:w="2155"/>
        <w:gridCol w:w="3960"/>
        <w:gridCol w:w="3160"/>
      </w:tblGrid>
      <w:tr w:rsidR="00880B28" w14:paraId="0FD1FCDD" w14:textId="77777777" w:rsidTr="00033E20">
        <w:trPr>
          <w:jc w:val="center"/>
        </w:trPr>
        <w:tc>
          <w:tcPr>
            <w:tcW w:w="2155" w:type="dxa"/>
            <w:tcBorders>
              <w:top w:val="single" w:sz="4" w:space="0" w:color="auto"/>
              <w:left w:val="single" w:sz="4" w:space="0" w:color="auto"/>
              <w:bottom w:val="single" w:sz="4" w:space="0" w:color="auto"/>
              <w:right w:val="single" w:sz="4" w:space="0" w:color="auto"/>
            </w:tcBorders>
            <w:hideMark/>
          </w:tcPr>
          <w:p w14:paraId="69C98C17" w14:textId="77777777" w:rsidR="00880B28" w:rsidRDefault="00880B28" w:rsidP="0057340E">
            <w:pPr>
              <w:spacing w:line="276" w:lineRule="auto"/>
            </w:pPr>
            <w:r>
              <w:t>Submitted by</w:t>
            </w:r>
          </w:p>
        </w:tc>
        <w:tc>
          <w:tcPr>
            <w:tcW w:w="3960" w:type="dxa"/>
            <w:tcBorders>
              <w:top w:val="single" w:sz="4" w:space="0" w:color="auto"/>
              <w:left w:val="single" w:sz="4" w:space="0" w:color="auto"/>
              <w:bottom w:val="single" w:sz="4" w:space="0" w:color="auto"/>
              <w:right w:val="single" w:sz="4" w:space="0" w:color="auto"/>
            </w:tcBorders>
            <w:hideMark/>
          </w:tcPr>
          <w:p w14:paraId="74104A0F" w14:textId="77777777" w:rsidR="00880B28" w:rsidRDefault="00880B28" w:rsidP="0057340E">
            <w:pPr>
              <w:spacing w:line="276" w:lineRule="auto"/>
            </w:pPr>
            <w:r>
              <w:t>Company</w:t>
            </w:r>
          </w:p>
        </w:tc>
        <w:tc>
          <w:tcPr>
            <w:tcW w:w="3160" w:type="dxa"/>
            <w:tcBorders>
              <w:top w:val="single" w:sz="4" w:space="0" w:color="auto"/>
              <w:left w:val="single" w:sz="4" w:space="0" w:color="auto"/>
              <w:bottom w:val="single" w:sz="4" w:space="0" w:color="auto"/>
              <w:right w:val="single" w:sz="4" w:space="0" w:color="auto"/>
            </w:tcBorders>
            <w:hideMark/>
          </w:tcPr>
          <w:p w14:paraId="2FF61D62" w14:textId="77777777" w:rsidR="00880B28" w:rsidRDefault="00880B28" w:rsidP="0057340E">
            <w:pPr>
              <w:spacing w:line="276" w:lineRule="auto"/>
            </w:pPr>
            <w:r>
              <w:t>Date Submitted</w:t>
            </w:r>
          </w:p>
        </w:tc>
      </w:tr>
      <w:tr w:rsidR="00880B28" w14:paraId="0FAF78CD" w14:textId="77777777" w:rsidTr="00033E20">
        <w:trPr>
          <w:jc w:val="center"/>
        </w:trPr>
        <w:tc>
          <w:tcPr>
            <w:tcW w:w="2155" w:type="dxa"/>
            <w:tcBorders>
              <w:top w:val="single" w:sz="4" w:space="0" w:color="auto"/>
              <w:left w:val="single" w:sz="4" w:space="0" w:color="auto"/>
              <w:bottom w:val="single" w:sz="4" w:space="0" w:color="auto"/>
              <w:right w:val="single" w:sz="4" w:space="0" w:color="auto"/>
            </w:tcBorders>
            <w:hideMark/>
          </w:tcPr>
          <w:p w14:paraId="05DE6FF9" w14:textId="2DB94EC8" w:rsidR="00880B28" w:rsidRDefault="00880B28" w:rsidP="004A2A80">
            <w:pPr>
              <w:spacing w:line="240" w:lineRule="auto"/>
            </w:pPr>
            <w:r>
              <w:t>Evelyn Kahl</w:t>
            </w:r>
          </w:p>
          <w:p w14:paraId="0CEB438A" w14:textId="2D5BECC0" w:rsidR="00880B28" w:rsidRDefault="00444E46" w:rsidP="004A2A80">
            <w:pPr>
              <w:spacing w:line="240" w:lineRule="auto"/>
            </w:pPr>
            <w:hyperlink r:id="rId10" w:history="1">
              <w:r w:rsidR="00880B28" w:rsidRPr="00652AAE">
                <w:rPr>
                  <w:rStyle w:val="Hyperlink"/>
                </w:rPr>
                <w:t>evelyn@cal-cca.org</w:t>
              </w:r>
            </w:hyperlink>
          </w:p>
          <w:p w14:paraId="0CF8A56A" w14:textId="0F03E903" w:rsidR="00880B28" w:rsidRDefault="00880B28" w:rsidP="004A2A80">
            <w:pPr>
              <w:spacing w:line="240" w:lineRule="auto"/>
            </w:pPr>
            <w:r w:rsidRPr="00880B28">
              <w:t>(415) 254-5454</w:t>
            </w:r>
          </w:p>
        </w:tc>
        <w:tc>
          <w:tcPr>
            <w:tcW w:w="3960" w:type="dxa"/>
            <w:tcBorders>
              <w:top w:val="single" w:sz="4" w:space="0" w:color="auto"/>
              <w:left w:val="single" w:sz="4" w:space="0" w:color="auto"/>
              <w:bottom w:val="single" w:sz="4" w:space="0" w:color="auto"/>
              <w:right w:val="single" w:sz="4" w:space="0" w:color="auto"/>
            </w:tcBorders>
            <w:hideMark/>
          </w:tcPr>
          <w:p w14:paraId="39EE89AF" w14:textId="31BB83B8" w:rsidR="00880B28" w:rsidRDefault="00880B28" w:rsidP="004A2A80">
            <w:pPr>
              <w:spacing w:line="240" w:lineRule="auto"/>
            </w:pPr>
            <w:r w:rsidRPr="00880B28">
              <w:t>California Community Choice Association</w:t>
            </w:r>
          </w:p>
        </w:tc>
        <w:tc>
          <w:tcPr>
            <w:tcW w:w="3160" w:type="dxa"/>
            <w:tcBorders>
              <w:top w:val="single" w:sz="4" w:space="0" w:color="auto"/>
              <w:left w:val="single" w:sz="4" w:space="0" w:color="auto"/>
              <w:bottom w:val="single" w:sz="4" w:space="0" w:color="auto"/>
              <w:right w:val="single" w:sz="4" w:space="0" w:color="auto"/>
            </w:tcBorders>
            <w:hideMark/>
          </w:tcPr>
          <w:p w14:paraId="0F24BE91" w14:textId="11C6C936" w:rsidR="00880B28" w:rsidRDefault="00880B28" w:rsidP="004A2A80">
            <w:pPr>
              <w:spacing w:line="240" w:lineRule="auto"/>
            </w:pPr>
            <w:r>
              <w:t>October 20, 2020</w:t>
            </w:r>
          </w:p>
        </w:tc>
      </w:tr>
    </w:tbl>
    <w:p w14:paraId="59BA05D2" w14:textId="77777777" w:rsidR="00880B28" w:rsidRDefault="00880B28" w:rsidP="00115910">
      <w:pPr>
        <w:pStyle w:val="ListParagraph"/>
        <w:spacing w:line="276" w:lineRule="auto"/>
        <w:rPr>
          <w:rFonts w:eastAsia="Times New Roman"/>
        </w:rPr>
      </w:pPr>
    </w:p>
    <w:p w14:paraId="70CA11D7" w14:textId="07D310BE" w:rsidR="002C0AB2" w:rsidRDefault="002C0AB2" w:rsidP="000A4E27">
      <w:pPr>
        <w:pStyle w:val="ListParagraph"/>
        <w:numPr>
          <w:ilvl w:val="0"/>
          <w:numId w:val="2"/>
        </w:numPr>
        <w:spacing w:after="240" w:line="276" w:lineRule="auto"/>
        <w:jc w:val="both"/>
        <w:rPr>
          <w:b/>
          <w:bCs/>
        </w:rPr>
      </w:pPr>
      <w:r>
        <w:rPr>
          <w:b/>
          <w:bCs/>
        </w:rPr>
        <w:t>Summary</w:t>
      </w:r>
    </w:p>
    <w:p w14:paraId="47360ACF" w14:textId="12A86610" w:rsidR="002C0AB2" w:rsidRPr="002C0AB2" w:rsidRDefault="002C0AB2" w:rsidP="000A4E27">
      <w:pPr>
        <w:spacing w:after="240" w:line="276" w:lineRule="auto"/>
        <w:jc w:val="both"/>
      </w:pPr>
      <w:proofErr w:type="spellStart"/>
      <w:r w:rsidRPr="002C0AB2">
        <w:t>CalCCA</w:t>
      </w:r>
      <w:proofErr w:type="spellEnd"/>
      <w:r w:rsidRPr="002C0AB2">
        <w:t xml:space="preserve"> submits the following reply comments on the revised PRR 1280 and the ISO’s responses to initial stakeholder comments posted on October 6, 2020. </w:t>
      </w:r>
      <w:proofErr w:type="spellStart"/>
      <w:r w:rsidRPr="002C0AB2">
        <w:t>CalCCA</w:t>
      </w:r>
      <w:proofErr w:type="spellEnd"/>
      <w:r w:rsidRPr="002C0AB2">
        <w:t xml:space="preserve"> opposes the PRR as it represents a significant shift in policy, which could have a material impact on rates, taken without the necessary procedural actions and its implementation schedule provides insufficient notice to affected load-serving entities (LSEs).</w:t>
      </w:r>
    </w:p>
    <w:p w14:paraId="48B74330" w14:textId="6795B8F3" w:rsidR="00641A0E" w:rsidRPr="007B1876" w:rsidRDefault="008A0327" w:rsidP="000A4E27">
      <w:pPr>
        <w:pStyle w:val="ListParagraph"/>
        <w:numPr>
          <w:ilvl w:val="0"/>
          <w:numId w:val="2"/>
        </w:numPr>
        <w:spacing w:after="240" w:line="276" w:lineRule="auto"/>
        <w:jc w:val="both"/>
        <w:rPr>
          <w:b/>
          <w:bCs/>
        </w:rPr>
      </w:pPr>
      <w:r w:rsidRPr="009D146B">
        <w:rPr>
          <w:b/>
          <w:bCs/>
        </w:rPr>
        <w:t xml:space="preserve">CAISO’s PRR 1280 </w:t>
      </w:r>
    </w:p>
    <w:p w14:paraId="104DD563" w14:textId="10452C0A" w:rsidR="009D146B" w:rsidRPr="00AF5CCD" w:rsidRDefault="00AF5CCD" w:rsidP="000A4E27">
      <w:pPr>
        <w:spacing w:line="276" w:lineRule="auto"/>
        <w:jc w:val="both"/>
      </w:pPr>
      <w:r>
        <w:t xml:space="preserve">CAISO’s PRR 1280 goes far beyond the realm of “implementation details” appropriate for changes to the BPM. Rather, </w:t>
      </w:r>
      <w:r w:rsidR="000B06E0">
        <w:t xml:space="preserve">the effects of PRR 1280 would significantly alter how the contributions of Demand Response (DR) resources are valued in meeting </w:t>
      </w:r>
      <w:r w:rsidR="003C74B0">
        <w:t xml:space="preserve">the state’s </w:t>
      </w:r>
      <w:r w:rsidR="000B06E0">
        <w:t>reliability requirements.</w:t>
      </w:r>
      <w:r w:rsidR="00812C61">
        <w:t xml:space="preserve"> DR has long been considered </w:t>
      </w:r>
      <w:r w:rsidR="00EB0232">
        <w:t xml:space="preserve">by </w:t>
      </w:r>
      <w:r w:rsidR="008555FD">
        <w:t xml:space="preserve">California </w:t>
      </w:r>
      <w:r w:rsidR="00EB0232">
        <w:t xml:space="preserve">policymakers </w:t>
      </w:r>
      <w:r w:rsidR="00812C61">
        <w:t xml:space="preserve">as a preferred resource, </w:t>
      </w:r>
      <w:r w:rsidR="00EB0232">
        <w:t>and investment in DR programs that meet energy and reliability needs is therefore prioritized by LSEs.</w:t>
      </w:r>
      <w:r w:rsidR="000B06E0">
        <w:t xml:space="preserve"> </w:t>
      </w:r>
      <w:r w:rsidR="00EB0232">
        <w:t xml:space="preserve">CAISO’s proposal would undermine the value of these resources. </w:t>
      </w:r>
      <w:r w:rsidR="000B06E0">
        <w:t>Not only is this a significant policy shift, the BPM change could materially impact rates by effectively ignoring approximately 1,500 MWs of DR that ha</w:t>
      </w:r>
      <w:r w:rsidR="5B5363B7">
        <w:t>ve</w:t>
      </w:r>
      <w:r w:rsidR="000B06E0">
        <w:t xml:space="preserve"> already been contracted for.</w:t>
      </w:r>
      <w:r w:rsidR="003C74B0">
        <w:t xml:space="preserve"> </w:t>
      </w:r>
      <w:r w:rsidR="00906939">
        <w:t>This will appear as a</w:t>
      </w:r>
      <w:r w:rsidR="003C74B0">
        <w:t xml:space="preserve"> sudden reduction in capacity </w:t>
      </w:r>
      <w:r w:rsidR="00906939">
        <w:t xml:space="preserve">and could lead to the CAISO identifying a system shortfall and procuring additional capacity, the cost of </w:t>
      </w:r>
      <w:r w:rsidR="0043090E">
        <w:t xml:space="preserve">which will again be borne by customers. </w:t>
      </w:r>
      <w:r w:rsidR="00EB0232">
        <w:t xml:space="preserve">The significance </w:t>
      </w:r>
      <w:r w:rsidR="001200C0">
        <w:t>of this change and</w:t>
      </w:r>
      <w:r w:rsidR="00867E91">
        <w:t xml:space="preserve"> the</w:t>
      </w:r>
      <w:r w:rsidR="001200C0">
        <w:t xml:space="preserve"> risk </w:t>
      </w:r>
      <w:r w:rsidR="00867E91">
        <w:t xml:space="preserve">it introduces </w:t>
      </w:r>
      <w:r w:rsidR="001200C0">
        <w:t xml:space="preserve">of increasing rates to California customers makes the BPM process an inappropriate venue for consideration. </w:t>
      </w:r>
    </w:p>
    <w:p w14:paraId="33D81171" w14:textId="135E9CE5" w:rsidR="00D3627B" w:rsidRDefault="00237943" w:rsidP="000A4E27">
      <w:pPr>
        <w:pStyle w:val="ListParagraph"/>
        <w:numPr>
          <w:ilvl w:val="0"/>
          <w:numId w:val="2"/>
        </w:numPr>
        <w:spacing w:after="240" w:line="276" w:lineRule="auto"/>
        <w:jc w:val="both"/>
        <w:rPr>
          <w:b/>
          <w:bCs/>
        </w:rPr>
      </w:pPr>
      <w:r>
        <w:rPr>
          <w:b/>
          <w:bCs/>
        </w:rPr>
        <w:t xml:space="preserve">CAISO’s Responses to Initial Comments of Stakeholders </w:t>
      </w:r>
    </w:p>
    <w:p w14:paraId="2BA4E338" w14:textId="61BA7763" w:rsidR="00237943" w:rsidRDefault="005D013A" w:rsidP="000A4E27">
      <w:pPr>
        <w:spacing w:after="240" w:line="276" w:lineRule="auto"/>
        <w:jc w:val="both"/>
      </w:pPr>
      <w:proofErr w:type="spellStart"/>
      <w:r w:rsidRPr="005D013A">
        <w:t>CalCCA</w:t>
      </w:r>
      <w:proofErr w:type="spellEnd"/>
      <w:r w:rsidRPr="005D013A">
        <w:t xml:space="preserve"> </w:t>
      </w:r>
      <w:r w:rsidR="009115D1">
        <w:t xml:space="preserve">provides </w:t>
      </w:r>
      <w:r w:rsidRPr="005D013A">
        <w:t xml:space="preserve">comments </w:t>
      </w:r>
      <w:r w:rsidR="005A663C">
        <w:t xml:space="preserve">below </w:t>
      </w:r>
      <w:r w:rsidRPr="005D013A">
        <w:t xml:space="preserve">on </w:t>
      </w:r>
      <w:r w:rsidR="005A663C">
        <w:t>select</w:t>
      </w:r>
      <w:r w:rsidR="00B90245">
        <w:t xml:space="preserve"> </w:t>
      </w:r>
      <w:r w:rsidR="004A758C">
        <w:t xml:space="preserve">responses from the </w:t>
      </w:r>
      <w:r w:rsidR="00126820">
        <w:t>CA</w:t>
      </w:r>
      <w:r w:rsidR="004A758C">
        <w:t>ISO to issues raised in</w:t>
      </w:r>
      <w:r w:rsidRPr="005D013A">
        <w:t xml:space="preserve"> </w:t>
      </w:r>
      <w:r w:rsidR="00D14E6D">
        <w:t xml:space="preserve">initial </w:t>
      </w:r>
      <w:r w:rsidR="004A758C">
        <w:t xml:space="preserve">stakeholder </w:t>
      </w:r>
      <w:r w:rsidR="00D14E6D">
        <w:t>comments</w:t>
      </w:r>
      <w:r w:rsidR="004A758C">
        <w:t>.</w:t>
      </w:r>
    </w:p>
    <w:p w14:paraId="6EAFA448" w14:textId="387B7405" w:rsidR="001E58E6" w:rsidRPr="001E58E6" w:rsidRDefault="001E58E6" w:rsidP="000A4E27">
      <w:pPr>
        <w:pStyle w:val="ListParagraph"/>
        <w:numPr>
          <w:ilvl w:val="1"/>
          <w:numId w:val="2"/>
        </w:numPr>
        <w:spacing w:after="240"/>
        <w:jc w:val="both"/>
        <w:rPr>
          <w:b/>
          <w:bCs/>
        </w:rPr>
      </w:pPr>
      <w:r>
        <w:rPr>
          <w:b/>
          <w:bCs/>
        </w:rPr>
        <w:t xml:space="preserve">The timing of CAISO’s proposed BPM change provides insufficient notice to affected LSEs </w:t>
      </w:r>
    </w:p>
    <w:p w14:paraId="49BDB6BA" w14:textId="77777777" w:rsidR="008E063C" w:rsidRDefault="008E063C" w:rsidP="000A4E27">
      <w:pPr>
        <w:spacing w:after="0" w:line="276" w:lineRule="auto"/>
        <w:ind w:left="360"/>
        <w:contextualSpacing/>
        <w:jc w:val="both"/>
        <w:rPr>
          <w:rFonts w:cstheme="minorHAnsi"/>
          <w:i/>
          <w:iCs/>
        </w:rPr>
      </w:pPr>
      <w:r>
        <w:rPr>
          <w:rFonts w:cstheme="minorHAnsi"/>
          <w:i/>
          <w:iCs/>
        </w:rPr>
        <w:t xml:space="preserve">Comment: </w:t>
      </w:r>
      <w:r w:rsidR="005A663C" w:rsidRPr="005A663C">
        <w:rPr>
          <w:rFonts w:cstheme="minorHAnsi"/>
          <w:i/>
          <w:iCs/>
        </w:rPr>
        <w:t xml:space="preserve">It does not seem appropriate that this PRR could go into effect even while a potential appeal is pending. </w:t>
      </w:r>
    </w:p>
    <w:p w14:paraId="7BDD7908" w14:textId="5F15607F" w:rsidR="001E58E6" w:rsidRDefault="009D34F8" w:rsidP="000A4E27">
      <w:pPr>
        <w:spacing w:after="0" w:line="276" w:lineRule="auto"/>
        <w:ind w:left="360"/>
        <w:contextualSpacing/>
        <w:jc w:val="both"/>
        <w:rPr>
          <w:rFonts w:cstheme="minorHAnsi"/>
          <w:i/>
          <w:iCs/>
        </w:rPr>
      </w:pPr>
      <w:r>
        <w:rPr>
          <w:i/>
          <w:iCs/>
        </w:rPr>
        <w:t xml:space="preserve">CAISO </w:t>
      </w:r>
      <w:r w:rsidR="008E063C">
        <w:rPr>
          <w:rFonts w:cstheme="minorHAnsi"/>
          <w:i/>
          <w:iCs/>
        </w:rPr>
        <w:t xml:space="preserve">Response: </w:t>
      </w:r>
      <w:r w:rsidR="005A663C" w:rsidRPr="005A663C">
        <w:rPr>
          <w:rFonts w:cstheme="minorHAnsi"/>
          <w:i/>
          <w:iCs/>
        </w:rPr>
        <w:t>The CAISO is following its established BPM change management process.</w:t>
      </w:r>
    </w:p>
    <w:p w14:paraId="48FAFF2C" w14:textId="38AE1DA8" w:rsidR="00126820" w:rsidRPr="00126820" w:rsidRDefault="0037657C" w:rsidP="000A4E27">
      <w:pPr>
        <w:spacing w:after="0" w:line="276" w:lineRule="auto"/>
        <w:ind w:left="360"/>
        <w:contextualSpacing/>
        <w:jc w:val="both"/>
        <w:rPr>
          <w:rFonts w:cstheme="minorHAnsi"/>
        </w:rPr>
      </w:pPr>
      <w:r>
        <w:rPr>
          <w:rFonts w:cstheme="minorHAnsi"/>
        </w:rPr>
        <w:t xml:space="preserve"> </w:t>
      </w:r>
    </w:p>
    <w:p w14:paraId="15741DE2" w14:textId="0A26716C" w:rsidR="008F0272" w:rsidRDefault="00203D3E" w:rsidP="006C1CCE">
      <w:pPr>
        <w:spacing w:line="276" w:lineRule="auto"/>
        <w:ind w:left="360"/>
        <w:jc w:val="both"/>
      </w:pPr>
      <w:r>
        <w:t>As described</w:t>
      </w:r>
      <w:r w:rsidR="00DC5264">
        <w:t xml:space="preserve"> in Section I</w:t>
      </w:r>
      <w:r>
        <w:t xml:space="preserve"> above, t</w:t>
      </w:r>
      <w:r w:rsidR="009D146B">
        <w:t xml:space="preserve">he proposed </w:t>
      </w:r>
      <w:r w:rsidR="00846B05">
        <w:t xml:space="preserve">BPM </w:t>
      </w:r>
      <w:r w:rsidR="009D146B">
        <w:t xml:space="preserve">change would ignore </w:t>
      </w:r>
      <w:r w:rsidR="000B06E0">
        <w:t>DR</w:t>
      </w:r>
      <w:r w:rsidR="009D146B">
        <w:t xml:space="preserve"> resources historically applied as credits to CPUC-jurisdictional LSEs’ system RA </w:t>
      </w:r>
      <w:r w:rsidR="00846B05">
        <w:t>requirements</w:t>
      </w:r>
      <w:r w:rsidR="009D146B" w:rsidRPr="00E05D19">
        <w:t xml:space="preserve">. Since </w:t>
      </w:r>
      <w:r w:rsidR="146DF1AF" w:rsidRPr="00E05D19">
        <w:t>2006</w:t>
      </w:r>
      <w:r w:rsidR="009D146B" w:rsidRPr="00E05D19">
        <w:t>, the</w:t>
      </w:r>
      <w:r w:rsidR="009D146B">
        <w:t xml:space="preserve"> CPUC has </w:t>
      </w:r>
      <w:r w:rsidR="009D146B">
        <w:lastRenderedPageBreak/>
        <w:t xml:space="preserve">allocated the reliability contribution of IOU </w:t>
      </w:r>
      <w:r w:rsidR="7C246FC4">
        <w:t>reliability</w:t>
      </w:r>
      <w:r w:rsidR="009D146B">
        <w:t xml:space="preserve"> </w:t>
      </w:r>
      <w:r w:rsidR="00846B05">
        <w:t>resources</w:t>
      </w:r>
      <w:r w:rsidR="05BC822A">
        <w:t>, including DR resources,</w:t>
      </w:r>
      <w:r w:rsidR="00846B05">
        <w:t xml:space="preserve"> </w:t>
      </w:r>
      <w:r w:rsidR="009D146B">
        <w:t>to its jurisdictional LSEs</w:t>
      </w:r>
      <w:r w:rsidR="00202BFA">
        <w:t xml:space="preserve">, reducing </w:t>
      </w:r>
      <w:r w:rsidR="00773B20">
        <w:t xml:space="preserve">their </w:t>
      </w:r>
      <w:r w:rsidR="00202BFA">
        <w:t>system RA obligations</w:t>
      </w:r>
      <w:r w:rsidR="00773B20">
        <w:t xml:space="preserve"> by each LSE’s proportional load-share</w:t>
      </w:r>
      <w:r w:rsidR="00202BFA">
        <w:t>. These allocations have already been administered for the 2021 RA year</w:t>
      </w:r>
      <w:r w:rsidR="00773B20">
        <w:t xml:space="preserve"> and LSEs have</w:t>
      </w:r>
      <w:r w:rsidR="4AB3A101">
        <w:t xml:space="preserve"> procured resources and</w:t>
      </w:r>
      <w:r w:rsidR="00773B20">
        <w:t xml:space="preserve"> prepared for their year-ahead filings, due 11 days from now, </w:t>
      </w:r>
      <w:r w:rsidR="00C41DEA">
        <w:t>based on</w:t>
      </w:r>
      <w:r w:rsidR="00773B20">
        <w:t xml:space="preserve"> that information. </w:t>
      </w:r>
      <w:r w:rsidR="00846B05">
        <w:t xml:space="preserve">For the CAISO to move forward with a change that affects the 2021 RA compliance protocols while LSEs </w:t>
      </w:r>
      <w:r w:rsidR="006312E1">
        <w:t>rush</w:t>
      </w:r>
      <w:r w:rsidR="00846B05">
        <w:t xml:space="preserve"> to </w:t>
      </w:r>
      <w:r w:rsidR="00AF5CCD">
        <w:t>complete</w:t>
      </w:r>
      <w:r w:rsidR="00846B05">
        <w:t xml:space="preserve"> their year-ahead submissions is unreasonable and irresponsible. In fact</w:t>
      </w:r>
      <w:r w:rsidR="00267273">
        <w:t>,</w:t>
      </w:r>
      <w:r w:rsidR="00846B05">
        <w:t xml:space="preserve"> it seems likely that the BPM change will not be finalized </w:t>
      </w:r>
      <w:r w:rsidR="00267273">
        <w:t>until after</w:t>
      </w:r>
      <w:r w:rsidR="00846B05">
        <w:t xml:space="preserve"> the October 31st deadline for RA filings. </w:t>
      </w:r>
      <w:r w:rsidR="00267273">
        <w:t xml:space="preserve">Therefore, not only has CAISO not allowed sufficient time for LSEs to understand or respond to the BPM change in advance of its application, </w:t>
      </w:r>
      <w:r w:rsidR="00846B05">
        <w:t xml:space="preserve">CAISO is proposing to retroactively change </w:t>
      </w:r>
      <w:r w:rsidR="00AF1A3E">
        <w:t>its</w:t>
      </w:r>
      <w:r w:rsidR="00846B05">
        <w:t xml:space="preserve"> reliability requirements</w:t>
      </w:r>
      <w:r w:rsidR="00267273">
        <w:t xml:space="preserve"> for LSEs</w:t>
      </w:r>
      <w:r w:rsidR="00AF1A3E">
        <w:t xml:space="preserve"> to be in direct conflict with the CPUC’s </w:t>
      </w:r>
      <w:r w:rsidR="006312E1">
        <w:t xml:space="preserve">current </w:t>
      </w:r>
      <w:r w:rsidR="00AF1A3E">
        <w:t>practices</w:t>
      </w:r>
      <w:r w:rsidR="00267273">
        <w:t>.</w:t>
      </w:r>
      <w:r w:rsidR="00AF1A3E">
        <w:t xml:space="preserve"> Any change the CAISO makes to its rules around reliability requirements should be done in concert with the CPUC, such that both agencies are able to provide </w:t>
      </w:r>
      <w:r w:rsidR="00AF5CCD">
        <w:t xml:space="preserve">sufficient </w:t>
      </w:r>
      <w:r w:rsidR="00AF1A3E">
        <w:t xml:space="preserve">advance notice </w:t>
      </w:r>
      <w:r w:rsidR="00DF6425">
        <w:t xml:space="preserve">of the change </w:t>
      </w:r>
      <w:r w:rsidR="00AF1A3E">
        <w:t>and consistent guidance</w:t>
      </w:r>
      <w:r w:rsidR="00DF6425">
        <w:t xml:space="preserve"> </w:t>
      </w:r>
      <w:r w:rsidR="00AF5CCD">
        <w:t>regarding</w:t>
      </w:r>
      <w:r w:rsidR="00DF6425">
        <w:t xml:space="preserve"> its implications</w:t>
      </w:r>
      <w:r w:rsidR="00AF1A3E">
        <w:t xml:space="preserve">.  </w:t>
      </w:r>
    </w:p>
    <w:p w14:paraId="3A2CD924" w14:textId="6CB8913E" w:rsidR="00060622" w:rsidRPr="00A71084" w:rsidRDefault="005D49B6" w:rsidP="000A4E27">
      <w:pPr>
        <w:pStyle w:val="ListParagraph"/>
        <w:numPr>
          <w:ilvl w:val="1"/>
          <w:numId w:val="2"/>
        </w:numPr>
        <w:spacing w:after="240" w:line="276" w:lineRule="auto"/>
        <w:jc w:val="both"/>
      </w:pPr>
      <w:r>
        <w:rPr>
          <w:b/>
          <w:bCs/>
        </w:rPr>
        <w:t>The proposed BPM change is procedurally defective</w:t>
      </w:r>
    </w:p>
    <w:p w14:paraId="24394D33" w14:textId="77777777" w:rsidR="007B1876" w:rsidRDefault="001326B7" w:rsidP="000A4E27">
      <w:pPr>
        <w:spacing w:after="0" w:line="276" w:lineRule="auto"/>
        <w:ind w:left="360"/>
        <w:contextualSpacing/>
        <w:jc w:val="both"/>
        <w:rPr>
          <w:i/>
          <w:iCs/>
        </w:rPr>
      </w:pPr>
      <w:r>
        <w:rPr>
          <w:i/>
          <w:iCs/>
        </w:rPr>
        <w:t xml:space="preserve">Comment: </w:t>
      </w:r>
      <w:r w:rsidRPr="001326B7">
        <w:rPr>
          <w:i/>
          <w:iCs/>
        </w:rPr>
        <w:t>PRR1280 exceeds Board authority from Slow Demand Response initiative.</w:t>
      </w:r>
    </w:p>
    <w:p w14:paraId="2B1EBD25" w14:textId="0A52EF0A" w:rsidR="001326B7" w:rsidRDefault="007B1876" w:rsidP="000A4E27">
      <w:pPr>
        <w:spacing w:after="0" w:line="276" w:lineRule="auto"/>
        <w:ind w:left="360"/>
        <w:contextualSpacing/>
        <w:jc w:val="both"/>
        <w:rPr>
          <w:i/>
          <w:iCs/>
        </w:rPr>
      </w:pPr>
      <w:r>
        <w:rPr>
          <w:i/>
          <w:iCs/>
        </w:rPr>
        <w:t>CAISO Response:</w:t>
      </w:r>
      <w:r w:rsidR="001326B7" w:rsidRPr="001326B7">
        <w:rPr>
          <w:i/>
          <w:iCs/>
        </w:rPr>
        <w:t xml:space="preserve"> Questions regarding LRA crediting were highlighted in the Slow Demand Response initiative but concerns on this matter cut across all aspects of RA. Further, the tariff amendments from that initiative are tied to financial settlement and accounting of slow demand response resources and do not speak to the crediting issue.</w:t>
      </w:r>
    </w:p>
    <w:p w14:paraId="582B59EE" w14:textId="77777777" w:rsidR="001326B7" w:rsidRDefault="001326B7" w:rsidP="000A4E27">
      <w:pPr>
        <w:spacing w:after="0" w:line="276" w:lineRule="auto"/>
        <w:ind w:left="360"/>
        <w:contextualSpacing/>
        <w:jc w:val="both"/>
        <w:rPr>
          <w:i/>
          <w:iCs/>
        </w:rPr>
      </w:pPr>
    </w:p>
    <w:p w14:paraId="4C1EF7DC" w14:textId="4D7C0D80" w:rsidR="00184726" w:rsidRDefault="00184726" w:rsidP="000A4E27">
      <w:pPr>
        <w:spacing w:after="0" w:line="276" w:lineRule="auto"/>
        <w:ind w:left="360"/>
        <w:contextualSpacing/>
        <w:jc w:val="both"/>
        <w:rPr>
          <w:i/>
          <w:iCs/>
        </w:rPr>
      </w:pPr>
      <w:r>
        <w:rPr>
          <w:i/>
          <w:iCs/>
        </w:rPr>
        <w:t xml:space="preserve">Comment: </w:t>
      </w:r>
      <w:r w:rsidRPr="00184726">
        <w:rPr>
          <w:i/>
          <w:iCs/>
        </w:rPr>
        <w:t xml:space="preserve">PRR1280 intrudes on state jurisdiction and exceeds CAISO authority. </w:t>
      </w:r>
    </w:p>
    <w:p w14:paraId="0FE22AA8" w14:textId="21AAE12E" w:rsidR="00184726" w:rsidRDefault="00184726" w:rsidP="007B1876">
      <w:pPr>
        <w:spacing w:after="0" w:line="276" w:lineRule="auto"/>
        <w:ind w:left="360"/>
        <w:contextualSpacing/>
        <w:jc w:val="both"/>
        <w:rPr>
          <w:i/>
          <w:iCs/>
        </w:rPr>
      </w:pPr>
      <w:r>
        <w:rPr>
          <w:i/>
          <w:iCs/>
        </w:rPr>
        <w:t xml:space="preserve">CAISO Response: </w:t>
      </w:r>
      <w:r w:rsidRPr="00184726">
        <w:rPr>
          <w:i/>
          <w:iCs/>
        </w:rPr>
        <w:t>The PRR relates to aspects of the RA program that are within the CAISO's tariff authority. LRAs may set their planning reserve margin and establish qualifying capacity methodologies. Nothing about PRR1280 intrudes on LRAs' ability to exercise their authority on those matters.</w:t>
      </w:r>
    </w:p>
    <w:p w14:paraId="338D6718" w14:textId="52B8E533" w:rsidR="007B1876" w:rsidRDefault="007B1876" w:rsidP="007B1876">
      <w:pPr>
        <w:spacing w:after="0" w:line="276" w:lineRule="auto"/>
        <w:ind w:left="360"/>
        <w:contextualSpacing/>
        <w:jc w:val="both"/>
        <w:rPr>
          <w:i/>
          <w:iCs/>
        </w:rPr>
      </w:pPr>
    </w:p>
    <w:p w14:paraId="4D4C4600" w14:textId="77777777" w:rsidR="007B1876" w:rsidRPr="009D34F8" w:rsidRDefault="007B1876" w:rsidP="007B1876">
      <w:pPr>
        <w:spacing w:after="0" w:line="276" w:lineRule="auto"/>
        <w:ind w:left="360"/>
        <w:jc w:val="both"/>
        <w:rPr>
          <w:i/>
          <w:iCs/>
        </w:rPr>
      </w:pPr>
      <w:r w:rsidRPr="009D34F8">
        <w:rPr>
          <w:i/>
          <w:iCs/>
        </w:rPr>
        <w:t xml:space="preserve">Comment: PRR1280 is not an appropriate change for a BPM. </w:t>
      </w:r>
    </w:p>
    <w:p w14:paraId="1A3DBB6F" w14:textId="0D7481F9" w:rsidR="007B1876" w:rsidRDefault="007B1876" w:rsidP="007B1876">
      <w:pPr>
        <w:spacing w:after="0" w:line="276" w:lineRule="auto"/>
        <w:ind w:left="360"/>
        <w:contextualSpacing/>
        <w:jc w:val="both"/>
        <w:rPr>
          <w:i/>
          <w:iCs/>
        </w:rPr>
      </w:pPr>
      <w:r>
        <w:rPr>
          <w:i/>
          <w:iCs/>
        </w:rPr>
        <w:t xml:space="preserve">CAISO </w:t>
      </w:r>
      <w:r w:rsidRPr="009D34F8">
        <w:rPr>
          <w:i/>
          <w:iCs/>
        </w:rPr>
        <w:t>Response: The key outcome of PRR1280 is to ensure consistent treatment of all RA resources under the CAISO tariff and that resources counting towards meeting RA obligations be shown on RA supply plans. This outcome is consistent with existing tariff and as such, the CAISO finds it is an appropriate BPM change.</w:t>
      </w:r>
    </w:p>
    <w:p w14:paraId="6FAAB57C" w14:textId="77777777" w:rsidR="00184726" w:rsidRPr="00115910" w:rsidRDefault="00184726" w:rsidP="000A4E27">
      <w:pPr>
        <w:spacing w:after="0" w:line="276" w:lineRule="auto"/>
        <w:ind w:left="360"/>
        <w:contextualSpacing/>
        <w:jc w:val="both"/>
        <w:rPr>
          <w:i/>
          <w:iCs/>
        </w:rPr>
      </w:pPr>
    </w:p>
    <w:p w14:paraId="06F371AD" w14:textId="72D07F17" w:rsidR="00A71084" w:rsidRDefault="00705E4A" w:rsidP="000A4E27">
      <w:pPr>
        <w:spacing w:line="276" w:lineRule="auto"/>
        <w:ind w:left="360"/>
        <w:contextualSpacing/>
        <w:jc w:val="both"/>
      </w:pPr>
      <w:r w:rsidRPr="00115910">
        <w:t xml:space="preserve">The </w:t>
      </w:r>
      <w:r w:rsidR="005E08EA" w:rsidRPr="00115910">
        <w:t>CPUC’s Energ</w:t>
      </w:r>
      <w:r w:rsidRPr="00115910">
        <w:t>y Division, Pacific Gas and Electric Company, Southern California Edison Company, and</w:t>
      </w:r>
      <w:r>
        <w:t xml:space="preserve"> San Diego Gas &amp; Electric Company have all pointed out in previous comments that the proposed change </w:t>
      </w:r>
      <w:r w:rsidR="00642C83">
        <w:t>lacks the legal authority</w:t>
      </w:r>
      <w:r w:rsidR="00CC6C1E">
        <w:t xml:space="preserve">.  </w:t>
      </w:r>
      <w:r w:rsidR="00F5460A">
        <w:t xml:space="preserve">It goes beyond the CAISO’s legal authority in </w:t>
      </w:r>
      <w:r w:rsidR="004B64D7">
        <w:t>two</w:t>
      </w:r>
      <w:r w:rsidR="00F5460A">
        <w:t xml:space="preserve"> ways:</w:t>
      </w:r>
    </w:p>
    <w:p w14:paraId="7A7DB5FF" w14:textId="222FD0E5" w:rsidR="00F5460A" w:rsidRDefault="009A5E25" w:rsidP="000A4E27">
      <w:pPr>
        <w:pStyle w:val="ListParagraph"/>
        <w:numPr>
          <w:ilvl w:val="0"/>
          <w:numId w:val="3"/>
        </w:numPr>
        <w:spacing w:after="240" w:line="276" w:lineRule="auto"/>
        <w:ind w:left="720"/>
        <w:jc w:val="both"/>
      </w:pPr>
      <w:r>
        <w:t xml:space="preserve">PRR 1280 </w:t>
      </w:r>
      <w:r w:rsidR="007D7DAC">
        <w:t xml:space="preserve"> </w:t>
      </w:r>
      <w:r w:rsidR="007D7DAC">
        <w:t>exceeds the</w:t>
      </w:r>
      <w:r w:rsidR="006F0291">
        <w:t xml:space="preserve"> scope of CAISO Board of Governor’s approval </w:t>
      </w:r>
      <w:r w:rsidR="00410F71">
        <w:t xml:space="preserve">of requiring </w:t>
      </w:r>
      <w:r w:rsidR="00E975BE">
        <w:t xml:space="preserve">“slow demand response” to be placed on a </w:t>
      </w:r>
      <w:r>
        <w:t xml:space="preserve">local reliability </w:t>
      </w:r>
      <w:r w:rsidR="00E975BE">
        <w:t xml:space="preserve">supply plan in order for the CAISO to “see” these resources </w:t>
      </w:r>
      <w:r w:rsidR="00E41D1F">
        <w:t xml:space="preserve">in determining resource sufficiency </w:t>
      </w:r>
      <w:r w:rsidR="00933D75">
        <w:t>for the upcoming year.</w:t>
      </w:r>
    </w:p>
    <w:p w14:paraId="097F47F4" w14:textId="47D1F337" w:rsidR="00933D75" w:rsidRDefault="00E41D1F" w:rsidP="000A4E27">
      <w:pPr>
        <w:pStyle w:val="ListParagraph"/>
        <w:numPr>
          <w:ilvl w:val="0"/>
          <w:numId w:val="3"/>
        </w:numPr>
        <w:spacing w:after="240" w:line="276" w:lineRule="auto"/>
        <w:ind w:left="720"/>
        <w:jc w:val="both"/>
      </w:pPr>
      <w:r>
        <w:lastRenderedPageBreak/>
        <w:t xml:space="preserve">PRR 1280 </w:t>
      </w:r>
      <w:r w:rsidR="007B0D9E">
        <w:t xml:space="preserve"> </w:t>
      </w:r>
      <w:r w:rsidR="007E5102">
        <w:t xml:space="preserve">intrudes on and undermines the CPUC’s jurisdiction over the RA program;  </w:t>
      </w:r>
      <w:r w:rsidR="00A51434">
        <w:t>the CPUC as administrator of the RA program</w:t>
      </w:r>
      <w:r w:rsidR="005A0E87">
        <w:t>, not the CAISO,</w:t>
      </w:r>
      <w:r w:rsidR="00A51434">
        <w:t xml:space="preserve"> should control </w:t>
      </w:r>
      <w:r w:rsidR="000B7DF3">
        <w:t xml:space="preserve">changes in the counting of resources </w:t>
      </w:r>
      <w:r w:rsidR="00E27F79">
        <w:t>for the up</w:t>
      </w:r>
      <w:r w:rsidR="00B41FAF">
        <w:t>coming year</w:t>
      </w:r>
      <w:r w:rsidR="00516078">
        <w:t>.</w:t>
      </w:r>
    </w:p>
    <w:p w14:paraId="41FE3BE6" w14:textId="5B77561C" w:rsidR="00EC6699" w:rsidRDefault="004B64D7" w:rsidP="000A4E27">
      <w:pPr>
        <w:spacing w:after="240" w:line="276" w:lineRule="auto"/>
        <w:ind w:left="360"/>
        <w:jc w:val="both"/>
      </w:pPr>
      <w:r>
        <w:t>In addition,</w:t>
      </w:r>
      <w:r w:rsidR="007B1876">
        <w:t xml:space="preserve"> as discussed in Section II above,</w:t>
      </w:r>
      <w:r>
        <w:t xml:space="preserve"> the effective elimination of a whole category of resources </w:t>
      </w:r>
      <w:r w:rsidR="00BC1C62">
        <w:t>f</w:t>
      </w:r>
      <w:r w:rsidR="00D55C89">
        <w:t xml:space="preserve">rom compliance eligibility </w:t>
      </w:r>
      <w:r w:rsidR="00FE119C">
        <w:t xml:space="preserve">is </w:t>
      </w:r>
      <w:r w:rsidR="00AB309B">
        <w:t xml:space="preserve">not a mere implementation detail that should </w:t>
      </w:r>
      <w:r w:rsidR="00FE119C">
        <w:t>be handled in a BPM</w:t>
      </w:r>
      <w:r w:rsidR="00AB309B">
        <w:t xml:space="preserve"> change</w:t>
      </w:r>
      <w:r w:rsidR="00FE119C">
        <w:t xml:space="preserve">, but </w:t>
      </w:r>
      <w:r w:rsidR="00AB309B">
        <w:t xml:space="preserve">a change of material consequence that </w:t>
      </w:r>
      <w:r w:rsidR="00FE119C">
        <w:t>should be handled through a tariff change</w:t>
      </w:r>
      <w:r w:rsidR="00AB309B">
        <w:t xml:space="preserve"> submitted to and reviewed by FERC</w:t>
      </w:r>
      <w:r w:rsidR="00FE119C">
        <w:t xml:space="preserve">.  </w:t>
      </w:r>
    </w:p>
    <w:sectPr w:rsidR="00EC66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C874" w14:textId="77777777" w:rsidR="00D6630A" w:rsidRDefault="00D6630A" w:rsidP="00EB47E4">
      <w:pPr>
        <w:spacing w:after="0" w:line="240" w:lineRule="auto"/>
      </w:pPr>
      <w:r>
        <w:separator/>
      </w:r>
    </w:p>
  </w:endnote>
  <w:endnote w:type="continuationSeparator" w:id="0">
    <w:p w14:paraId="24D09700" w14:textId="77777777" w:rsidR="00D6630A" w:rsidRDefault="00D6630A" w:rsidP="00EB47E4">
      <w:pPr>
        <w:spacing w:after="0" w:line="240" w:lineRule="auto"/>
      </w:pPr>
      <w:r>
        <w:continuationSeparator/>
      </w:r>
    </w:p>
  </w:endnote>
  <w:endnote w:type="continuationNotice" w:id="1">
    <w:p w14:paraId="6635BA73" w14:textId="77777777" w:rsidR="00E705A1" w:rsidRDefault="00E70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895278"/>
      <w:docPartObj>
        <w:docPartGallery w:val="Page Numbers (Bottom of Page)"/>
        <w:docPartUnique/>
      </w:docPartObj>
    </w:sdtPr>
    <w:sdtEndPr>
      <w:rPr>
        <w:noProof/>
      </w:rPr>
    </w:sdtEndPr>
    <w:sdtContent>
      <w:p w14:paraId="16238A9D" w14:textId="6E8C09CB" w:rsidR="00EB47E4" w:rsidRDefault="00EB47E4">
        <w:pPr>
          <w:pStyle w:val="Footer"/>
        </w:pPr>
        <w:r>
          <w:fldChar w:fldCharType="begin"/>
        </w:r>
        <w:r>
          <w:instrText xml:space="preserve"> PAGE   \* MERGEFORMAT </w:instrText>
        </w:r>
        <w:r>
          <w:fldChar w:fldCharType="separate"/>
        </w:r>
        <w:r>
          <w:rPr>
            <w:noProof/>
          </w:rPr>
          <w:t>2</w:t>
        </w:r>
        <w:r>
          <w:rPr>
            <w:noProof/>
          </w:rPr>
          <w:fldChar w:fldCharType="end"/>
        </w:r>
      </w:p>
    </w:sdtContent>
  </w:sdt>
  <w:p w14:paraId="7DFF8601" w14:textId="77777777" w:rsidR="00EB47E4" w:rsidRDefault="00EB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7AFB" w14:textId="77777777" w:rsidR="00D6630A" w:rsidRDefault="00D6630A" w:rsidP="00EB47E4">
      <w:pPr>
        <w:spacing w:after="0" w:line="240" w:lineRule="auto"/>
      </w:pPr>
      <w:r>
        <w:separator/>
      </w:r>
    </w:p>
  </w:footnote>
  <w:footnote w:type="continuationSeparator" w:id="0">
    <w:p w14:paraId="08C99B86" w14:textId="77777777" w:rsidR="00D6630A" w:rsidRDefault="00D6630A" w:rsidP="00EB47E4">
      <w:pPr>
        <w:spacing w:after="0" w:line="240" w:lineRule="auto"/>
      </w:pPr>
      <w:r>
        <w:continuationSeparator/>
      </w:r>
    </w:p>
  </w:footnote>
  <w:footnote w:type="continuationNotice" w:id="1">
    <w:p w14:paraId="343D4409" w14:textId="77777777" w:rsidR="00E705A1" w:rsidRDefault="00E705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5A0B"/>
    <w:multiLevelType w:val="hybridMultilevel"/>
    <w:tmpl w:val="3404D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564E9F"/>
    <w:multiLevelType w:val="hybridMultilevel"/>
    <w:tmpl w:val="E63AE8F6"/>
    <w:lvl w:ilvl="0" w:tplc="26B44D16">
      <w:start w:val="1"/>
      <w:numFmt w:val="upperRoman"/>
      <w:lvlText w:val="%1."/>
      <w:lvlJc w:val="right"/>
      <w:pPr>
        <w:ind w:left="720" w:hanging="360"/>
      </w:pPr>
      <w:rPr>
        <w:b/>
        <w:bCs/>
      </w:rPr>
    </w:lvl>
    <w:lvl w:ilvl="1" w:tplc="DD48A69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65357"/>
    <w:multiLevelType w:val="hybridMultilevel"/>
    <w:tmpl w:val="FBB4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7341AC"/>
    <w:multiLevelType w:val="hybridMultilevel"/>
    <w:tmpl w:val="11CE66A6"/>
    <w:lvl w:ilvl="0" w:tplc="67DA90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C5749"/>
    <w:multiLevelType w:val="hybridMultilevel"/>
    <w:tmpl w:val="8B1C3234"/>
    <w:lvl w:ilvl="0" w:tplc="FBC8D4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28"/>
    <w:rsid w:val="00027F76"/>
    <w:rsid w:val="00033E20"/>
    <w:rsid w:val="00060622"/>
    <w:rsid w:val="00085D76"/>
    <w:rsid w:val="000A4E27"/>
    <w:rsid w:val="000B06E0"/>
    <w:rsid w:val="000B7DF3"/>
    <w:rsid w:val="0010228E"/>
    <w:rsid w:val="00104643"/>
    <w:rsid w:val="00115910"/>
    <w:rsid w:val="001200C0"/>
    <w:rsid w:val="00126820"/>
    <w:rsid w:val="001326B7"/>
    <w:rsid w:val="001559E3"/>
    <w:rsid w:val="00184726"/>
    <w:rsid w:val="001933E6"/>
    <w:rsid w:val="00193EF8"/>
    <w:rsid w:val="001A5705"/>
    <w:rsid w:val="001B3616"/>
    <w:rsid w:val="001E58E6"/>
    <w:rsid w:val="001E627C"/>
    <w:rsid w:val="00202BFA"/>
    <w:rsid w:val="00203D3E"/>
    <w:rsid w:val="00237943"/>
    <w:rsid w:val="00267273"/>
    <w:rsid w:val="002747EF"/>
    <w:rsid w:val="002C0AB2"/>
    <w:rsid w:val="002E3E99"/>
    <w:rsid w:val="0037657C"/>
    <w:rsid w:val="00376BED"/>
    <w:rsid w:val="00383C7C"/>
    <w:rsid w:val="003C74B0"/>
    <w:rsid w:val="003D5F37"/>
    <w:rsid w:val="003E0C1D"/>
    <w:rsid w:val="00410F71"/>
    <w:rsid w:val="00415357"/>
    <w:rsid w:val="0043090E"/>
    <w:rsid w:val="00444E46"/>
    <w:rsid w:val="004454DC"/>
    <w:rsid w:val="0044711B"/>
    <w:rsid w:val="00447B25"/>
    <w:rsid w:val="00491EC9"/>
    <w:rsid w:val="004A2A80"/>
    <w:rsid w:val="004A758C"/>
    <w:rsid w:val="004B64D7"/>
    <w:rsid w:val="004F16D4"/>
    <w:rsid w:val="00504B6C"/>
    <w:rsid w:val="00515142"/>
    <w:rsid w:val="00516078"/>
    <w:rsid w:val="005308D6"/>
    <w:rsid w:val="0057340E"/>
    <w:rsid w:val="005A0E87"/>
    <w:rsid w:val="005A663C"/>
    <w:rsid w:val="005B2F15"/>
    <w:rsid w:val="005C5C9C"/>
    <w:rsid w:val="005C6DEF"/>
    <w:rsid w:val="005D013A"/>
    <w:rsid w:val="005D49B6"/>
    <w:rsid w:val="005E08EA"/>
    <w:rsid w:val="005F4067"/>
    <w:rsid w:val="005F520A"/>
    <w:rsid w:val="006312E1"/>
    <w:rsid w:val="00641A0E"/>
    <w:rsid w:val="00642C83"/>
    <w:rsid w:val="006C1CCE"/>
    <w:rsid w:val="006E1AE6"/>
    <w:rsid w:val="006E213B"/>
    <w:rsid w:val="006F0291"/>
    <w:rsid w:val="00702370"/>
    <w:rsid w:val="00705E4A"/>
    <w:rsid w:val="00773B20"/>
    <w:rsid w:val="007B0D9E"/>
    <w:rsid w:val="007B1876"/>
    <w:rsid w:val="007B6733"/>
    <w:rsid w:val="007D7DAC"/>
    <w:rsid w:val="007E5102"/>
    <w:rsid w:val="007F0899"/>
    <w:rsid w:val="007F4861"/>
    <w:rsid w:val="0081263C"/>
    <w:rsid w:val="00812C61"/>
    <w:rsid w:val="00846B05"/>
    <w:rsid w:val="008555FD"/>
    <w:rsid w:val="00867E91"/>
    <w:rsid w:val="00870CF5"/>
    <w:rsid w:val="00880B28"/>
    <w:rsid w:val="0088246F"/>
    <w:rsid w:val="00887BDB"/>
    <w:rsid w:val="008A0327"/>
    <w:rsid w:val="008E063C"/>
    <w:rsid w:val="008F0272"/>
    <w:rsid w:val="008F05F9"/>
    <w:rsid w:val="00906939"/>
    <w:rsid w:val="009115D1"/>
    <w:rsid w:val="00924B0C"/>
    <w:rsid w:val="00933068"/>
    <w:rsid w:val="00933D75"/>
    <w:rsid w:val="00934B8E"/>
    <w:rsid w:val="009A5E25"/>
    <w:rsid w:val="009B64DA"/>
    <w:rsid w:val="009D146B"/>
    <w:rsid w:val="009D34F8"/>
    <w:rsid w:val="00A20F07"/>
    <w:rsid w:val="00A51434"/>
    <w:rsid w:val="00A61775"/>
    <w:rsid w:val="00A71084"/>
    <w:rsid w:val="00AB309B"/>
    <w:rsid w:val="00AB5F0A"/>
    <w:rsid w:val="00AE1377"/>
    <w:rsid w:val="00AF1A3E"/>
    <w:rsid w:val="00AF5CCD"/>
    <w:rsid w:val="00AF6E4B"/>
    <w:rsid w:val="00B02B88"/>
    <w:rsid w:val="00B0788B"/>
    <w:rsid w:val="00B31BBE"/>
    <w:rsid w:val="00B35BDD"/>
    <w:rsid w:val="00B41FAF"/>
    <w:rsid w:val="00B606DA"/>
    <w:rsid w:val="00B90245"/>
    <w:rsid w:val="00BB06B1"/>
    <w:rsid w:val="00BC1C62"/>
    <w:rsid w:val="00BC36B7"/>
    <w:rsid w:val="00BE556C"/>
    <w:rsid w:val="00BF2427"/>
    <w:rsid w:val="00BF3E0C"/>
    <w:rsid w:val="00C02006"/>
    <w:rsid w:val="00C32E4F"/>
    <w:rsid w:val="00C41DEA"/>
    <w:rsid w:val="00C66788"/>
    <w:rsid w:val="00C707F3"/>
    <w:rsid w:val="00C750AD"/>
    <w:rsid w:val="00CB0C35"/>
    <w:rsid w:val="00CC6C1E"/>
    <w:rsid w:val="00CF0A55"/>
    <w:rsid w:val="00D14E6D"/>
    <w:rsid w:val="00D24281"/>
    <w:rsid w:val="00D263D4"/>
    <w:rsid w:val="00D339DA"/>
    <w:rsid w:val="00D3627B"/>
    <w:rsid w:val="00D55C89"/>
    <w:rsid w:val="00D6630A"/>
    <w:rsid w:val="00DC5264"/>
    <w:rsid w:val="00DD3C14"/>
    <w:rsid w:val="00DD42F6"/>
    <w:rsid w:val="00DF6425"/>
    <w:rsid w:val="00E01DE5"/>
    <w:rsid w:val="00E05D19"/>
    <w:rsid w:val="00E27F79"/>
    <w:rsid w:val="00E35FC6"/>
    <w:rsid w:val="00E41D1F"/>
    <w:rsid w:val="00E55A4E"/>
    <w:rsid w:val="00E705A1"/>
    <w:rsid w:val="00E975BE"/>
    <w:rsid w:val="00EA35B6"/>
    <w:rsid w:val="00EB0232"/>
    <w:rsid w:val="00EB47E4"/>
    <w:rsid w:val="00EC1D8D"/>
    <w:rsid w:val="00EC6699"/>
    <w:rsid w:val="00EE583C"/>
    <w:rsid w:val="00EF7673"/>
    <w:rsid w:val="00F40EE3"/>
    <w:rsid w:val="00F52950"/>
    <w:rsid w:val="00F5460A"/>
    <w:rsid w:val="00FE119C"/>
    <w:rsid w:val="05BC822A"/>
    <w:rsid w:val="146DF1AF"/>
    <w:rsid w:val="1FA50B3E"/>
    <w:rsid w:val="2A0AF5F3"/>
    <w:rsid w:val="3542779C"/>
    <w:rsid w:val="4AB3A101"/>
    <w:rsid w:val="5B5363B7"/>
    <w:rsid w:val="6E70B0E4"/>
    <w:rsid w:val="7C24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430B"/>
  <w15:chartTrackingRefBased/>
  <w15:docId w15:val="{29F64D33-4771-4418-B05C-AE21ABF3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28"/>
    <w:pPr>
      <w:spacing w:after="0" w:line="240" w:lineRule="auto"/>
      <w:ind w:left="720"/>
    </w:pPr>
    <w:rPr>
      <w:rFonts w:ascii="Calibri" w:hAnsi="Calibri" w:cs="Calibri"/>
    </w:rPr>
  </w:style>
  <w:style w:type="table" w:styleId="TableGrid">
    <w:name w:val="Table Grid"/>
    <w:basedOn w:val="TableNormal"/>
    <w:uiPriority w:val="39"/>
    <w:rsid w:val="00880B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B28"/>
    <w:rPr>
      <w:color w:val="0563C1" w:themeColor="hyperlink"/>
      <w:u w:val="single"/>
    </w:rPr>
  </w:style>
  <w:style w:type="character" w:styleId="UnresolvedMention">
    <w:name w:val="Unresolved Mention"/>
    <w:basedOn w:val="DefaultParagraphFont"/>
    <w:uiPriority w:val="99"/>
    <w:semiHidden/>
    <w:unhideWhenUsed/>
    <w:rsid w:val="00880B28"/>
    <w:rPr>
      <w:color w:val="605E5C"/>
      <w:shd w:val="clear" w:color="auto" w:fill="E1DFDD"/>
    </w:rPr>
  </w:style>
  <w:style w:type="paragraph" w:styleId="BalloonText">
    <w:name w:val="Balloon Text"/>
    <w:basedOn w:val="Normal"/>
    <w:link w:val="BalloonTextChar"/>
    <w:uiPriority w:val="99"/>
    <w:semiHidden/>
    <w:unhideWhenUsed/>
    <w:rsid w:val="0006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22"/>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B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E4"/>
  </w:style>
  <w:style w:type="paragraph" w:styleId="Footer">
    <w:name w:val="footer"/>
    <w:basedOn w:val="Normal"/>
    <w:link w:val="FooterChar"/>
    <w:uiPriority w:val="99"/>
    <w:unhideWhenUsed/>
    <w:rsid w:val="00EB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velyn@cal-cc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1769BC9EA5A4B9F2FA04A374AC78F" ma:contentTypeVersion="11" ma:contentTypeDescription="Create a new document." ma:contentTypeScope="" ma:versionID="a757d2bd02a3070e6dc13286ef0df918">
  <xsd:schema xmlns:xsd="http://www.w3.org/2001/XMLSchema" xmlns:xs="http://www.w3.org/2001/XMLSchema" xmlns:p="http://schemas.microsoft.com/office/2006/metadata/properties" xmlns:ns2="c4847019-363d-41f3-b578-8cebb389c8e5" xmlns:ns3="c484e5c2-f322-480b-9d15-6a7eecfa87f1" targetNamespace="http://schemas.microsoft.com/office/2006/metadata/properties" ma:root="true" ma:fieldsID="02256fac2823313c52eb096582ffd30a" ns2:_="" ns3:_="">
    <xsd:import namespace="c4847019-363d-41f3-b578-8cebb389c8e5"/>
    <xsd:import namespace="c484e5c2-f322-480b-9d15-6a7eecfa87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019-363d-41f3-b578-8cebb389c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4e5c2-f322-480b-9d15-6a7eecfa87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519DB-608D-481C-91FA-B9154C7E00AF}">
  <ds:schemaRefs>
    <ds:schemaRef ds:uri="http://schemas.microsoft.com/sharepoint/v3/contenttype/forms"/>
  </ds:schemaRefs>
</ds:datastoreItem>
</file>

<file path=customXml/itemProps2.xml><?xml version="1.0" encoding="utf-8"?>
<ds:datastoreItem xmlns:ds="http://schemas.openxmlformats.org/officeDocument/2006/customXml" ds:itemID="{E77F63B8-7D6B-45F4-939C-E80E45E60329}">
  <ds:schemaRefs>
    <ds:schemaRef ds:uri="http://purl.org/dc/terms/"/>
    <ds:schemaRef ds:uri="c4847019-363d-41f3-b578-8cebb389c8e5"/>
    <ds:schemaRef ds:uri="http://schemas.microsoft.com/office/2006/documentManagement/types"/>
    <ds:schemaRef ds:uri="http://schemas.microsoft.com/office/infopath/2007/PartnerControls"/>
    <ds:schemaRef ds:uri="c484e5c2-f322-480b-9d15-6a7eecfa87f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B29386-33C1-4A98-BEAB-E4BBC792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47019-363d-41f3-b578-8cebb389c8e5"/>
    <ds:schemaRef ds:uri="c484e5c2-f322-480b-9d15-6a7eecfa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Links>
    <vt:vector size="6" baseType="variant">
      <vt:variant>
        <vt:i4>2621532</vt:i4>
      </vt:variant>
      <vt:variant>
        <vt:i4>0</vt:i4>
      </vt:variant>
      <vt:variant>
        <vt:i4>0</vt:i4>
      </vt:variant>
      <vt:variant>
        <vt:i4>5</vt:i4>
      </vt:variant>
      <vt:variant>
        <vt:lpwstr>mailto:evelyn@cal-cca.org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Tanenhaus</dc:creator>
  <cp:keywords/>
  <dc:description/>
  <cp:lastModifiedBy>Stefanie Tanenhaus</cp:lastModifiedBy>
  <cp:revision>2</cp:revision>
  <dcterms:created xsi:type="dcterms:W3CDTF">2020-10-20T23:13:00Z</dcterms:created>
  <dcterms:modified xsi:type="dcterms:W3CDTF">2020-10-20T23:13:00Z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0x0101002BD1769BC9EA5A4B9F2FA04A374AC78F</vt:lpwstr>
  </property>
</Properties>
</file>